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Aptos" w:hAnsi="Aptos"/>
          <w:b/>
          <w:color w:val="0F766E"/>
          <w:sz w:val="18"/>
        </w:rPr>
        <w:t>Client case brief</w:t>
      </w:r>
    </w:p>
    <w:p>
      <w:pPr>
        <w:spacing w:after="80"/>
        <w:jc w:val="center"/>
      </w:pPr>
      <w:r>
        <w:rPr>
          <w:rFonts w:ascii="Aptos" w:hAnsi="Aptos"/>
          <w:b/>
          <w:color w:val="111827"/>
          <w:sz w:val="44"/>
        </w:rPr>
        <w:t>Unauthorized transfer of 2,111,263.74962 USDT</w:t>
      </w:r>
    </w:p>
    <w:p>
      <w:pPr>
        <w:spacing w:after="40"/>
        <w:jc w:val="center"/>
      </w:pPr>
      <w:r>
        <w:rPr>
          <w:rFonts w:ascii="Aptos" w:hAnsi="Aptos"/>
          <w:color w:val="475569"/>
          <w:sz w:val="20"/>
        </w:rPr>
        <w:t>Live theft-response proposal for the Malta police-referenced matter</w:t>
      </w:r>
    </w:p>
    <w:p>
      <w:pPr>
        <w:spacing w:after="280"/>
        <w:jc w:val="center"/>
      </w:pPr>
      <w:r>
        <w:rPr>
          <w:rFonts w:ascii="Aptos" w:hAnsi="Aptos"/>
          <w:color w:val="475569"/>
          <w:sz w:val="20"/>
        </w:rPr>
        <w:t>Public-safe version</w:t>
      </w:r>
    </w:p>
    <w:p>
      <w:pPr>
        <w:spacing w:before="200" w:after="120"/>
      </w:pPr>
      <w:r>
        <w:rPr>
          <w:rFonts w:ascii="Aptos" w:hAnsi="Aptos"/>
          <w:b/>
          <w:color w:val="1F2937"/>
          <w:sz w:val="26"/>
        </w:rPr>
        <w:t>Matter snapshot</w:t>
      </w:r>
    </w:p>
    <w:p>
      <w:pPr>
        <w:spacing w:after="160"/>
      </w:pPr>
      <w:r>
        <w:rPr>
          <w:rFonts w:ascii="Aptos" w:hAnsi="Aptos"/>
          <w:color w:val="334155"/>
          <w:sz w:val="21"/>
        </w:rPr>
        <w:t>The client reported that 2,111,263.74962 USDT left the origin wallet without authorization. The police brief records a destination wallet, transaction reference, and a compromise narrative linked to suspected wallet or key access rather than a consensual transfer.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2592"/>
            <w:vAlign w:val="top"/>
            <w:shd w:fill="F8FAFC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</w:tcPr>
          <w:p>
            <w:pPr>
              <w:spacing w:after="0"/>
            </w:pPr>
            <w:r>
              <w:rPr>
                <w:rFonts w:ascii="Aptos" w:hAnsi="Aptos"/>
                <w:b/>
                <w:color w:val="334155"/>
                <w:sz w:val="20"/>
              </w:rPr>
              <w:t>Prepared for</w:t>
            </w:r>
          </w:p>
        </w:tc>
        <w:tc>
          <w:tcPr>
            <w:tcW w:type="dxa" w:w="7056"/>
            <w:vAlign w:val="top"/>
            <w:shd w:fill="F8FAFC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</w:tcPr>
          <w:p>
            <w:pPr>
              <w:spacing w:after="0"/>
            </w:pPr>
            <w:r>
              <w:rPr>
                <w:rFonts w:ascii="Aptos" w:hAnsi="Aptos"/>
                <w:color w:val="334155"/>
                <w:sz w:val="20"/>
              </w:rPr>
              <w:t>External sharing version</w:t>
            </w:r>
          </w:p>
        </w:tc>
      </w:tr>
      <w:tr>
        <w:tc>
          <w:tcPr>
            <w:tcW w:type="dxa" w:w="2592"/>
            <w:vAlign w:val="top"/>
            <w:shd w:fill="F8FAFC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</w:tcPr>
          <w:p>
            <w:pPr>
              <w:spacing w:after="0"/>
            </w:pPr>
            <w:r>
              <w:rPr>
                <w:rFonts w:ascii="Aptos" w:hAnsi="Aptos"/>
                <w:b/>
                <w:color w:val="334155"/>
                <w:sz w:val="20"/>
              </w:rPr>
              <w:t>Police reference</w:t>
            </w:r>
          </w:p>
        </w:tc>
        <w:tc>
          <w:tcPr>
            <w:tcW w:type="dxa" w:w="7056"/>
            <w:vAlign w:val="top"/>
            <w:shd w:fill="F8FAFC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</w:tcPr>
          <w:p>
            <w:pPr>
              <w:spacing w:after="0"/>
            </w:pPr>
            <w:r>
              <w:rPr>
                <w:rFonts w:ascii="Aptos" w:hAnsi="Aptos"/>
                <w:color w:val="334155"/>
                <w:sz w:val="20"/>
              </w:rPr>
              <w:t>NPS 8/POL/2321/2026</w:t>
            </w:r>
          </w:p>
        </w:tc>
      </w:tr>
      <w:tr>
        <w:tc>
          <w:tcPr>
            <w:tcW w:type="dxa" w:w="2592"/>
            <w:vAlign w:val="top"/>
            <w:shd w:fill="F8FAFC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</w:tcPr>
          <w:p>
            <w:pPr>
              <w:spacing w:after="0"/>
            </w:pPr>
            <w:r>
              <w:rPr>
                <w:rFonts w:ascii="Aptos" w:hAnsi="Aptos"/>
                <w:b/>
                <w:color w:val="334155"/>
                <w:sz w:val="20"/>
              </w:rPr>
              <w:t>Reporting station</w:t>
            </w:r>
          </w:p>
        </w:tc>
        <w:tc>
          <w:tcPr>
            <w:tcW w:type="dxa" w:w="7056"/>
            <w:vAlign w:val="top"/>
            <w:shd w:fill="F8FAFC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</w:tcPr>
          <w:p>
            <w:pPr>
              <w:spacing w:after="0"/>
            </w:pPr>
            <w:r>
              <w:rPr>
                <w:rFonts w:ascii="Aptos" w:hAnsi="Aptos"/>
                <w:color w:val="334155"/>
                <w:sz w:val="20"/>
              </w:rPr>
              <w:t>St. Julian's Police Station, Region B, Malta</w:t>
            </w:r>
          </w:p>
        </w:tc>
      </w:tr>
      <w:tr>
        <w:tc>
          <w:tcPr>
            <w:tcW w:type="dxa" w:w="2592"/>
            <w:vAlign w:val="top"/>
            <w:shd w:fill="F8FAFC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</w:tcPr>
          <w:p>
            <w:pPr>
              <w:spacing w:after="0"/>
            </w:pPr>
            <w:r>
              <w:rPr>
                <w:rFonts w:ascii="Aptos" w:hAnsi="Aptos"/>
                <w:b/>
                <w:color w:val="334155"/>
                <w:sz w:val="20"/>
              </w:rPr>
              <w:t>Report printed</w:t>
            </w:r>
          </w:p>
        </w:tc>
        <w:tc>
          <w:tcPr>
            <w:tcW w:type="dxa" w:w="7056"/>
            <w:vAlign w:val="top"/>
            <w:shd w:fill="F8FAFC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</w:tcPr>
          <w:p>
            <w:pPr>
              <w:spacing w:after="0"/>
            </w:pPr>
            <w:r>
              <w:rPr>
                <w:rFonts w:ascii="Aptos" w:hAnsi="Aptos"/>
                <w:color w:val="334155"/>
                <w:sz w:val="20"/>
              </w:rPr>
              <w:t>03 April 2026, 18:30 local time</w:t>
            </w:r>
          </w:p>
        </w:tc>
      </w:tr>
      <w:tr>
        <w:tc>
          <w:tcPr>
            <w:tcW w:type="dxa" w:w="2592"/>
            <w:vAlign w:val="top"/>
            <w:shd w:fill="F8FAFC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</w:tcPr>
          <w:p>
            <w:pPr>
              <w:spacing w:after="0"/>
            </w:pPr>
            <w:r>
              <w:rPr>
                <w:rFonts w:ascii="Aptos" w:hAnsi="Aptos"/>
                <w:b/>
                <w:color w:val="334155"/>
                <w:sz w:val="20"/>
              </w:rPr>
              <w:t>Observed incident time</w:t>
            </w:r>
          </w:p>
        </w:tc>
        <w:tc>
          <w:tcPr>
            <w:tcW w:type="dxa" w:w="7056"/>
            <w:vAlign w:val="top"/>
            <w:shd w:fill="F8FAFC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</w:tcPr>
          <w:p>
            <w:pPr>
              <w:spacing w:after="0"/>
            </w:pPr>
            <w:r>
              <w:rPr>
                <w:rFonts w:ascii="Aptos" w:hAnsi="Aptos"/>
                <w:color w:val="334155"/>
                <w:sz w:val="20"/>
              </w:rPr>
              <w:t>01 April 2026, 01:39 UTC</w:t>
            </w:r>
          </w:p>
        </w:tc>
      </w:tr>
      <w:tr>
        <w:tc>
          <w:tcPr>
            <w:tcW w:type="dxa" w:w="2592"/>
            <w:vAlign w:val="top"/>
            <w:shd w:fill="F8FAFC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</w:tcPr>
          <w:p>
            <w:pPr>
              <w:spacing w:after="0"/>
            </w:pPr>
            <w:r>
              <w:rPr>
                <w:rFonts w:ascii="Aptos" w:hAnsi="Aptos"/>
                <w:b/>
                <w:color w:val="334155"/>
                <w:sz w:val="20"/>
              </w:rPr>
              <w:t>Header time to reconcile</w:t>
            </w:r>
          </w:p>
        </w:tc>
        <w:tc>
          <w:tcPr>
            <w:tcW w:type="dxa" w:w="7056"/>
            <w:vAlign w:val="top"/>
            <w:shd w:fill="F8FAFC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</w:tcPr>
          <w:p>
            <w:pPr>
              <w:spacing w:after="0"/>
            </w:pPr>
            <w:r>
              <w:rPr>
                <w:rFonts w:ascii="Aptos" w:hAnsi="Aptos"/>
                <w:color w:val="334155"/>
                <w:sz w:val="20"/>
              </w:rPr>
              <w:t>01 April 2026, 15:39 local time as printed in the police header</w:t>
            </w:r>
          </w:p>
        </w:tc>
      </w:tr>
      <w:tr>
        <w:tc>
          <w:tcPr>
            <w:tcW w:type="dxa" w:w="2592"/>
            <w:vAlign w:val="top"/>
            <w:shd w:fill="F8FAFC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</w:tcPr>
          <w:p>
            <w:pPr>
              <w:spacing w:after="0"/>
            </w:pPr>
            <w:r>
              <w:rPr>
                <w:rFonts w:ascii="Aptos" w:hAnsi="Aptos"/>
                <w:b/>
                <w:color w:val="334155"/>
                <w:sz w:val="20"/>
              </w:rPr>
              <w:t>Asset moved</w:t>
            </w:r>
          </w:p>
        </w:tc>
        <w:tc>
          <w:tcPr>
            <w:tcW w:type="dxa" w:w="7056"/>
            <w:vAlign w:val="top"/>
            <w:shd w:fill="F8FAFC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</w:tcPr>
          <w:p>
            <w:pPr>
              <w:spacing w:after="0"/>
            </w:pPr>
            <w:r>
              <w:rPr>
                <w:rFonts w:ascii="Aptos" w:hAnsi="Aptos"/>
                <w:color w:val="334155"/>
                <w:sz w:val="20"/>
              </w:rPr>
              <w:t>2,111,263.74962 USDT</w:t>
            </w:r>
          </w:p>
        </w:tc>
      </w:tr>
      <w:tr>
        <w:tc>
          <w:tcPr>
            <w:tcW w:type="dxa" w:w="2592"/>
            <w:vAlign w:val="top"/>
            <w:shd w:fill="F8FAFC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</w:tcPr>
          <w:p>
            <w:pPr>
              <w:spacing w:after="0"/>
            </w:pPr>
            <w:r>
              <w:rPr>
                <w:rFonts w:ascii="Aptos" w:hAnsi="Aptos"/>
                <w:b/>
                <w:color w:val="334155"/>
                <w:sz w:val="20"/>
              </w:rPr>
              <w:t>Source wallet</w:t>
            </w:r>
          </w:p>
        </w:tc>
        <w:tc>
          <w:tcPr>
            <w:tcW w:type="dxa" w:w="7056"/>
            <w:vAlign w:val="top"/>
            <w:shd w:fill="F8FAFC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</w:tcPr>
          <w:p>
            <w:pPr>
              <w:spacing w:after="0"/>
            </w:pPr>
            <w:r>
              <w:rPr>
                <w:rFonts w:ascii="Aptos Mono" w:hAnsi="Aptos Mono"/>
                <w:color w:val="334155"/>
                <w:sz w:val="20"/>
              </w:rPr>
              <w:t>0x7654...C759</w:t>
            </w:r>
          </w:p>
        </w:tc>
      </w:tr>
      <w:tr>
        <w:tc>
          <w:tcPr>
            <w:tcW w:type="dxa" w:w="2592"/>
            <w:vAlign w:val="top"/>
            <w:shd w:fill="F8FAFC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</w:tcPr>
          <w:p>
            <w:pPr>
              <w:spacing w:after="0"/>
            </w:pPr>
            <w:r>
              <w:rPr>
                <w:rFonts w:ascii="Aptos" w:hAnsi="Aptos"/>
                <w:b/>
                <w:color w:val="334155"/>
                <w:sz w:val="20"/>
              </w:rPr>
              <w:t>Destination wallet</w:t>
            </w:r>
          </w:p>
        </w:tc>
        <w:tc>
          <w:tcPr>
            <w:tcW w:type="dxa" w:w="7056"/>
            <w:vAlign w:val="top"/>
            <w:shd w:fill="F8FAFC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</w:tcPr>
          <w:p>
            <w:pPr>
              <w:spacing w:after="0"/>
            </w:pPr>
            <w:r>
              <w:rPr>
                <w:rFonts w:ascii="Aptos Mono" w:hAnsi="Aptos Mono"/>
                <w:color w:val="334155"/>
                <w:sz w:val="20"/>
              </w:rPr>
              <w:t>0x5468...42BE</w:t>
            </w:r>
          </w:p>
        </w:tc>
      </w:tr>
      <w:tr>
        <w:tc>
          <w:tcPr>
            <w:tcW w:type="dxa" w:w="2592"/>
            <w:vAlign w:val="top"/>
            <w:shd w:fill="F8FAFC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</w:tcPr>
          <w:p>
            <w:pPr>
              <w:spacing w:after="0"/>
            </w:pPr>
            <w:r>
              <w:rPr>
                <w:rFonts w:ascii="Aptos" w:hAnsi="Aptos"/>
                <w:b/>
                <w:color w:val="334155"/>
                <w:sz w:val="20"/>
              </w:rPr>
              <w:t>Transaction hash</w:t>
            </w:r>
          </w:p>
        </w:tc>
        <w:tc>
          <w:tcPr>
            <w:tcW w:type="dxa" w:w="7056"/>
            <w:vAlign w:val="top"/>
            <w:shd w:fill="F8FAFC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</w:tcPr>
          <w:p>
            <w:pPr>
              <w:spacing w:after="0"/>
            </w:pPr>
            <w:r>
              <w:rPr>
                <w:rFonts w:ascii="Aptos Mono" w:hAnsi="Aptos Mono"/>
                <w:color w:val="334155"/>
                <w:sz w:val="20"/>
              </w:rPr>
              <w:t>0x2430...B527</w:t>
            </w:r>
          </w:p>
        </w:tc>
      </w:tr>
    </w:tbl>
    <w:p/>
    <w:p>
      <w:pPr>
        <w:spacing w:before="200" w:after="120"/>
      </w:pPr>
      <w:r>
        <w:rPr>
          <w:rFonts w:ascii="Aptos" w:hAnsi="Aptos"/>
          <w:b/>
          <w:color w:val="1F2937"/>
          <w:sz w:val="26"/>
        </w:rPr>
        <w:t>Why this case is actionable now</w:t>
      </w:r>
    </w:p>
    <w:p>
      <w:pPr>
        <w:pStyle w:val="ListBullet"/>
        <w:spacing w:after="80" w:line="288" w:lineRule="auto"/>
      </w:pPr>
      <w:r>
        <w:rPr>
          <w:rFonts w:ascii="Aptos" w:hAnsi="Aptos"/>
          <w:sz w:val="21"/>
        </w:rPr>
        <w:t>The police filing already anchors the amount, initial route, and timing window needed to begin tracing.</w:t>
      </w:r>
    </w:p>
    <w:p>
      <w:pPr>
        <w:pStyle w:val="ListBullet"/>
        <w:spacing w:after="80" w:line="288" w:lineRule="auto"/>
      </w:pPr>
      <w:r>
        <w:rPr>
          <w:rFonts w:ascii="Aptos" w:hAnsi="Aptos"/>
          <w:sz w:val="21"/>
        </w:rPr>
        <w:t>The value size means any exchange, bridge, or broker exposure is material and should be surfaced quickly.</w:t>
      </w:r>
    </w:p>
    <w:p>
      <w:pPr>
        <w:pStyle w:val="ListBullet"/>
        <w:spacing w:after="80" w:line="288" w:lineRule="auto"/>
      </w:pPr>
      <w:r>
        <w:rPr>
          <w:rFonts w:ascii="Aptos" w:hAnsi="Aptos"/>
          <w:sz w:val="21"/>
        </w:rPr>
        <w:t>The opening task is evidence preservation and routing clarity, not speculative recovery promises.</w:t>
      </w:r>
    </w:p>
    <w:p>
      <w:pPr>
        <w:spacing w:before="200" w:after="120"/>
      </w:pPr>
      <w:r>
        <w:rPr>
          <w:rFonts w:ascii="Aptos" w:hAnsi="Aptos"/>
          <w:b/>
          <w:color w:val="1F2937"/>
          <w:sz w:val="26"/>
        </w:rPr>
        <w:t>Engagement objectives</w:t>
      </w:r>
    </w:p>
    <w:p>
      <w:pPr>
        <w:pStyle w:val="ListBullet"/>
        <w:spacing w:after="80" w:line="288" w:lineRule="auto"/>
      </w:pPr>
      <w:r>
        <w:rPr>
          <w:rFonts w:ascii="Aptos" w:hAnsi="Aptos"/>
          <w:sz w:val="21"/>
        </w:rPr>
        <w:t>Establish a defensible proof-of-loss package that links the client narrative, the police filing, and the onchain movement record.</w:t>
      </w:r>
    </w:p>
    <w:p>
      <w:pPr>
        <w:pStyle w:val="ListBullet"/>
        <w:spacing w:after="80" w:line="288" w:lineRule="auto"/>
      </w:pPr>
      <w:r>
        <w:rPr>
          <w:rFonts w:ascii="Aptos" w:hAnsi="Aptos"/>
          <w:sz w:val="21"/>
        </w:rPr>
        <w:t>Trace the stolen USDT through every material downstream hop until the movement reaches a service, venue, or cash-out pattern that can inform action.</w:t>
      </w:r>
    </w:p>
    <w:p>
      <w:pPr>
        <w:pStyle w:val="ListBullet"/>
        <w:spacing w:after="80" w:line="288" w:lineRule="auto"/>
      </w:pPr>
      <w:r>
        <w:rPr>
          <w:rFonts w:ascii="Aptos" w:hAnsi="Aptos"/>
          <w:sz w:val="21"/>
        </w:rPr>
        <w:t>Package the findings for counsel, police, insurers, and recovery coordination without requiring a second technical rewrite.</w:t>
      </w:r>
    </w:p>
    <w:p>
      <w:pPr>
        <w:spacing w:before="200" w:after="120"/>
      </w:pPr>
      <w:r>
        <w:rPr>
          <w:rFonts w:ascii="Aptos" w:hAnsi="Aptos"/>
          <w:b/>
          <w:color w:val="1F2937"/>
          <w:sz w:val="26"/>
        </w:rPr>
        <w:t>Methodology</w:t>
      </w:r>
    </w:p>
    <w:p>
      <w:pPr>
        <w:pStyle w:val="ListBullet"/>
        <w:spacing w:after="80" w:line="288" w:lineRule="auto"/>
      </w:pPr>
      <w:r>
        <w:rPr>
          <w:rFonts w:ascii="Aptos" w:hAnsi="Aptos"/>
          <w:sz w:val="21"/>
        </w:rPr>
        <w:t>Case intake and evidence lock: verify wallet ownership, preserve the police report, and reconcile the header time against the narrative UTC time before the chronology expands.</w:t>
      </w:r>
    </w:p>
    <w:p>
      <w:pPr>
        <w:pStyle w:val="ListBullet"/>
        <w:spacing w:after="80" w:line="288" w:lineRule="auto"/>
      </w:pPr>
      <w:r>
        <w:rPr>
          <w:rFonts w:ascii="Aptos" w:hAnsi="Aptos"/>
          <w:sz w:val="21"/>
        </w:rPr>
        <w:t>Recursive trace reconstruction: follow the USDT from the origin wallet into the first receiving wallet and through each subsequent hop, filtering internal churn, dust, and self-sweeps.</w:t>
      </w:r>
    </w:p>
    <w:p>
      <w:pPr>
        <w:pStyle w:val="ListBullet"/>
        <w:spacing w:after="80" w:line="288" w:lineRule="auto"/>
      </w:pPr>
      <w:r>
        <w:rPr>
          <w:rFonts w:ascii="Aptos" w:hAnsi="Aptos"/>
          <w:sz w:val="21"/>
        </w:rPr>
        <w:t>Entity resolution and venue mapping: identify whether the funds intersect exchanges, bridges, OTC brokers, payment processors, or other custodial touchpoints.</w:t>
      </w:r>
    </w:p>
    <w:p>
      <w:pPr>
        <w:pStyle w:val="ListBullet"/>
        <w:spacing w:after="80" w:line="288" w:lineRule="auto"/>
      </w:pPr>
      <w:r>
        <w:rPr>
          <w:rFonts w:ascii="Aptos" w:hAnsi="Aptos"/>
          <w:sz w:val="21"/>
        </w:rPr>
        <w:t>Reporting and escalation pack: deliver a chronology, transaction appendix, wallet map, and action matrix for legal, police, insurer, and venue-facing use.</w:t>
      </w:r>
    </w:p>
    <w:p>
      <w:pPr>
        <w:spacing w:before="200" w:after="120"/>
      </w:pPr>
      <w:r>
        <w:rPr>
          <w:rFonts w:ascii="Aptos" w:hAnsi="Aptos"/>
          <w:b/>
          <w:color w:val="1F2937"/>
          <w:sz w:val="26"/>
        </w:rPr>
        <w:t>Case timeline</w:t>
      </w:r>
    </w:p>
    <w:p>
      <w:pPr>
        <w:pStyle w:val="ListBullet"/>
        <w:spacing w:after="80" w:line="288" w:lineRule="auto"/>
      </w:pPr>
      <w:r>
        <w:rPr>
          <w:rFonts w:ascii="Aptos" w:hAnsi="Aptos"/>
          <w:sz w:val="21"/>
        </w:rPr>
        <w:t>Kickoff day: evidence freeze, wallet verification, police-file alignment, and first routing review.</w:t>
      </w:r>
    </w:p>
    <w:p>
      <w:pPr>
        <w:pStyle w:val="ListBullet"/>
        <w:spacing w:after="80" w:line="288" w:lineRule="auto"/>
      </w:pPr>
      <w:r>
        <w:rPr>
          <w:rFonts w:ascii="Aptos" w:hAnsi="Aptos"/>
          <w:sz w:val="21"/>
        </w:rPr>
        <w:t>Days 1 to 2: first-pass memo covering the initial route, immediate counterparties, and any urgent intervention points.</w:t>
      </w:r>
    </w:p>
    <w:p>
      <w:pPr>
        <w:pStyle w:val="ListBullet"/>
        <w:spacing w:after="80" w:line="288" w:lineRule="auto"/>
      </w:pPr>
      <w:r>
        <w:rPr>
          <w:rFonts w:ascii="Aptos" w:hAnsi="Aptos"/>
          <w:sz w:val="21"/>
        </w:rPr>
        <w:t>Days 3 to 5: deeper downstream attribution, service exposure mapping, clustering analysis, and exhibit assembly.</w:t>
      </w:r>
    </w:p>
    <w:p>
      <w:pPr>
        <w:pStyle w:val="ListBullet"/>
        <w:spacing w:after="80" w:line="288" w:lineRule="auto"/>
      </w:pPr>
      <w:r>
        <w:rPr>
          <w:rFonts w:ascii="Aptos" w:hAnsi="Aptos"/>
          <w:sz w:val="21"/>
        </w:rPr>
        <w:t>Days 6 to 7: final evidence-grade brief, chronology, and escalation matrix. Optional monitoring continues weekly if the funds remain active.</w:t>
      </w:r>
    </w:p>
    <w:p>
      <w:pPr>
        <w:spacing w:before="200" w:after="120"/>
      </w:pPr>
      <w:r>
        <w:rPr>
          <w:rFonts w:ascii="Aptos" w:hAnsi="Aptos"/>
          <w:b/>
          <w:color w:val="1F2937"/>
          <w:sz w:val="26"/>
        </w:rPr>
        <w:t>Pricing proposal</w:t>
      </w:r>
    </w:p>
    <w:p>
      <w:pPr>
        <w:pStyle w:val="ListBullet"/>
        <w:spacing w:after="80" w:line="288" w:lineRule="auto"/>
      </w:pPr>
      <w:r>
        <w:rPr>
          <w:rFonts w:ascii="Aptos" w:hAnsi="Aptos"/>
          <w:sz w:val="21"/>
        </w:rPr>
        <w:t>Phase 1 - emergency intake and evidence freeze: EUR 9,000 on kickoff.</w:t>
      </w:r>
    </w:p>
    <w:p>
      <w:pPr>
        <w:pStyle w:val="ListBullet"/>
        <w:spacing w:after="80" w:line="288" w:lineRule="auto"/>
      </w:pPr>
      <w:r>
        <w:rPr>
          <w:rFonts w:ascii="Aptos" w:hAnsi="Aptos"/>
          <w:sz w:val="21"/>
        </w:rPr>
        <w:t>Phase 2 - full forensic reconstruction and final report: EUR 19,500.</w:t>
      </w:r>
    </w:p>
    <w:p>
      <w:pPr>
        <w:pStyle w:val="ListBullet"/>
        <w:spacing w:after="80" w:line="288" w:lineRule="auto"/>
      </w:pPr>
      <w:r>
        <w:rPr>
          <w:rFonts w:ascii="Aptos" w:hAnsi="Aptos"/>
          <w:sz w:val="21"/>
        </w:rPr>
        <w:t>Phase 3 - optional venue follow-up and monitoring: EUR 4,500 per week.</w:t>
      </w:r>
    </w:p>
    <w:p>
      <w:pPr>
        <w:pStyle w:val="ListBullet"/>
        <w:spacing w:after="80" w:line="288" w:lineRule="auto"/>
      </w:pPr>
      <w:r>
        <w:rPr>
          <w:rFonts w:ascii="Aptos" w:hAnsi="Aptos"/>
          <w:sz w:val="21"/>
        </w:rPr>
        <w:t>Recommended initial authorization: EUR 28,500 for Phases 1 and 2 together.</w:t>
      </w:r>
    </w:p>
    <w:p>
      <w:pPr>
        <w:spacing w:before="200" w:after="120"/>
      </w:pPr>
      <w:r>
        <w:rPr>
          <w:rFonts w:ascii="Aptos" w:hAnsi="Aptos"/>
          <w:b/>
          <w:color w:val="1F2937"/>
          <w:sz w:val="26"/>
        </w:rPr>
        <w:t>Deliverables</w:t>
      </w:r>
    </w:p>
    <w:p>
      <w:pPr>
        <w:pStyle w:val="ListBullet"/>
        <w:spacing w:after="80" w:line="288" w:lineRule="auto"/>
      </w:pPr>
      <w:r>
        <w:rPr>
          <w:rFonts w:ascii="Aptos" w:hAnsi="Aptos"/>
          <w:sz w:val="21"/>
        </w:rPr>
        <w:t>Initial trace memo within 48 to 72 hours of kickoff.</w:t>
      </w:r>
    </w:p>
    <w:p>
      <w:pPr>
        <w:pStyle w:val="ListBullet"/>
        <w:spacing w:after="80" w:line="288" w:lineRule="auto"/>
      </w:pPr>
      <w:r>
        <w:rPr>
          <w:rFonts w:ascii="Aptos" w:hAnsi="Aptos"/>
          <w:sz w:val="21"/>
        </w:rPr>
        <w:t>Final chronology with timestamp normalization and narrative alignment.</w:t>
      </w:r>
    </w:p>
    <w:p>
      <w:pPr>
        <w:pStyle w:val="ListBullet"/>
        <w:spacing w:after="80" w:line="288" w:lineRule="auto"/>
      </w:pPr>
      <w:r>
        <w:rPr>
          <w:rFonts w:ascii="Aptos" w:hAnsi="Aptos"/>
          <w:sz w:val="21"/>
        </w:rPr>
        <w:t>Wallet map and transaction appendix for legal or insurer review.</w:t>
      </w:r>
    </w:p>
    <w:p>
      <w:pPr>
        <w:pStyle w:val="ListBullet"/>
        <w:spacing w:after="80" w:line="288" w:lineRule="auto"/>
      </w:pPr>
      <w:r>
        <w:rPr>
          <w:rFonts w:ascii="Aptos" w:hAnsi="Aptos"/>
          <w:sz w:val="21"/>
        </w:rPr>
        <w:t>Escalation matrix showing which counterparties or venues warrant follow-up.</w:t>
      </w:r>
    </w:p>
    <w:p>
      <w:pPr>
        <w:spacing w:before="200" w:after="120"/>
      </w:pPr>
      <w:r>
        <w:rPr>
          <w:rFonts w:ascii="Aptos" w:hAnsi="Aptos"/>
          <w:b/>
          <w:color w:val="1F2937"/>
          <w:sz w:val="26"/>
        </w:rPr>
        <w:t>Assumptions and exclusions</w:t>
      </w:r>
    </w:p>
    <w:p>
      <w:pPr>
        <w:pStyle w:val="ListBullet"/>
        <w:spacing w:after="80" w:line="288" w:lineRule="auto"/>
      </w:pPr>
      <w:r>
        <w:rPr>
          <w:rFonts w:ascii="Aptos" w:hAnsi="Aptos"/>
          <w:sz w:val="21"/>
        </w:rPr>
        <w:t>Scope assumes one principal theft event tied to the police filing above.</w:t>
      </w:r>
    </w:p>
    <w:p>
      <w:pPr>
        <w:pStyle w:val="ListBullet"/>
        <w:spacing w:after="80" w:line="288" w:lineRule="auto"/>
      </w:pPr>
      <w:r>
        <w:rPr>
          <w:rFonts w:ascii="Aptos" w:hAnsi="Aptos"/>
          <w:sz w:val="21"/>
        </w:rPr>
        <w:t>Cross-chain proliferation, litigation support, expert testimony, translations, and court filings are outside the base fee.</w:t>
      </w:r>
    </w:p>
    <w:p>
      <w:pPr>
        <w:pStyle w:val="ListBullet"/>
        <w:spacing w:after="80" w:line="288" w:lineRule="auto"/>
      </w:pPr>
      <w:r>
        <w:rPr>
          <w:rFonts w:ascii="Aptos" w:hAnsi="Aptos"/>
          <w:sz w:val="21"/>
        </w:rPr>
        <w:t>ChainAether provides forensic analysis and reporting support; recovery, venue action, and legal process remain third-party decisions.</w:t>
      </w:r>
    </w:p>
    <w:p>
      <w:pPr>
        <w:spacing w:before="200" w:after="120"/>
      </w:pPr>
      <w:r>
        <w:rPr>
          <w:rFonts w:ascii="Aptos" w:hAnsi="Aptos"/>
          <w:b/>
          <w:color w:val="1F2937"/>
          <w:sz w:val="26"/>
        </w:rPr>
        <w:t>Immediate next steps</w:t>
      </w:r>
    </w:p>
    <w:p>
      <w:pPr>
        <w:pStyle w:val="ListBullet"/>
        <w:spacing w:after="80" w:line="288" w:lineRule="auto"/>
      </w:pPr>
      <w:r>
        <w:rPr>
          <w:rFonts w:ascii="Aptos" w:hAnsi="Aptos"/>
          <w:sz w:val="21"/>
        </w:rPr>
        <w:t>Confirm the client-controlled wallet inventory and any additional associated addresses.</w:t>
      </w:r>
    </w:p>
    <w:p>
      <w:pPr>
        <w:pStyle w:val="ListBullet"/>
        <w:spacing w:after="80" w:line="288" w:lineRule="auto"/>
      </w:pPr>
      <w:r>
        <w:rPr>
          <w:rFonts w:ascii="Aptos" w:hAnsi="Aptos"/>
          <w:sz w:val="21"/>
        </w:rPr>
        <w:t>Secure raw wallet exports, screenshots, and device-access notes that support the compromise narrative.</w:t>
      </w:r>
    </w:p>
    <w:p>
      <w:pPr>
        <w:pStyle w:val="ListBullet"/>
        <w:spacing w:after="80" w:line="288" w:lineRule="auto"/>
      </w:pPr>
      <w:r>
        <w:rPr>
          <w:rFonts w:ascii="Aptos" w:hAnsi="Aptos"/>
          <w:sz w:val="21"/>
        </w:rPr>
        <w:t>Approve Phase 1 so trace preservation starts before venue-touchpoint visibility decays further.</w:t>
      </w:r>
    </w:p>
    <w:sectPr w:rsidR="00FC693F" w:rsidRPr="0006063C" w:rsidSect="00034616">
      <w:footerReference w:type="default" r:id="rId9"/>
      <w:pgSz w:w="12240" w:h="15840"/>
      <w:pgMar w:top="1152" w:right="1152" w:bottom="108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Aptos" w:hAnsi="Aptos"/>
        <w:color w:val="64748B"/>
        <w:sz w:val="16"/>
      </w:rPr>
      <w:t>ChainAether client case brief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